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Bookman Old Style" w:hAnsi="Bookman Old Style"/>
          <w:b w:val="1"/>
          <w:bCs w:val="1"/>
          <w:sz w:val="24"/>
          <w:szCs w:val="24"/>
        </w:rPr>
      </w:pPr>
      <w:r>
        <w:rPr>
          <w:rFonts w:ascii="Bookman Old Style" w:hAnsi="Bookman Old Style"/>
          <w:b w:val="1"/>
          <w:bCs w:val="1"/>
          <w:sz w:val="24"/>
          <w:szCs w:val="24"/>
        </w:rPr>
        <w:drawing>
          <wp:anchor distT="57150" distB="57150" distL="57150" distR="57150" simplePos="0" relativeHeight="251659264" behindDoc="0" locked="0" layoutInCell="1" allowOverlap="1">
            <wp:simplePos x="0" y="0"/>
            <wp:positionH relativeFrom="column">
              <wp:posOffset>-151765</wp:posOffset>
            </wp:positionH>
            <wp:positionV relativeFrom="line">
              <wp:posOffset>-192404</wp:posOffset>
            </wp:positionV>
            <wp:extent cx="1068706" cy="217805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KKOR kleur.png"/>
                    <pic:cNvPicPr>
                      <a:picLocks noChangeAspect="1"/>
                    </pic:cNvPicPr>
                  </pic:nvPicPr>
                  <pic:blipFill>
                    <a:blip r:embed="rId4">
                      <a:extLst/>
                    </a:blip>
                    <a:stretch>
                      <a:fillRect/>
                    </a:stretch>
                  </pic:blipFill>
                  <pic:spPr>
                    <a:xfrm>
                      <a:off x="0" y="0"/>
                      <a:ext cx="1068706" cy="2178050"/>
                    </a:xfrm>
                    <a:prstGeom prst="rect">
                      <a:avLst/>
                    </a:prstGeom>
                    <a:ln w="12700" cap="flat">
                      <a:noFill/>
                      <a:miter lim="400000"/>
                    </a:ln>
                    <a:effectLst/>
                  </pic:spPr>
                </pic:pic>
              </a:graphicData>
            </a:graphic>
          </wp:anchor>
        </w:drawing>
      </w:r>
    </w:p>
    <w:p>
      <w:pPr>
        <w:pStyle w:val="Normal.0"/>
        <w:rPr>
          <w:rFonts w:ascii="Bookman Old Style" w:hAnsi="Bookman Old Style"/>
          <w:b w:val="1"/>
          <w:bCs w:val="1"/>
          <w:sz w:val="24"/>
          <w:szCs w:val="24"/>
        </w:rPr>
      </w:pPr>
    </w:p>
    <w:p>
      <w:pPr>
        <w:pStyle w:val="Normal.0"/>
        <w:rPr>
          <w:rFonts w:ascii="Bookman Old Style" w:hAnsi="Bookman Old Style"/>
          <w:b w:val="1"/>
          <w:bCs w:val="1"/>
          <w:sz w:val="24"/>
          <w:szCs w:val="24"/>
        </w:rPr>
      </w:pPr>
    </w:p>
    <w:p>
      <w:pPr>
        <w:pStyle w:val="Normal.0"/>
        <w:rPr>
          <w:rFonts w:ascii="Bookman Old Style" w:hAnsi="Bookman Old Style"/>
          <w:b w:val="1"/>
          <w:bCs w:val="1"/>
          <w:sz w:val="24"/>
          <w:szCs w:val="24"/>
        </w:rPr>
      </w:pPr>
    </w:p>
    <w:p>
      <w:pPr>
        <w:pStyle w:val="Normal.0"/>
        <w:rPr>
          <w:rFonts w:ascii="Bookman Old Style" w:hAnsi="Bookman Old Style"/>
          <w:b w:val="1"/>
          <w:bCs w:val="1"/>
          <w:sz w:val="24"/>
          <w:szCs w:val="24"/>
        </w:rPr>
      </w:pPr>
    </w:p>
    <w:p>
      <w:pPr>
        <w:pStyle w:val="Normal.0"/>
        <w:rPr>
          <w:rFonts w:ascii="Bookman Old Style" w:hAnsi="Bookman Old Style"/>
          <w:b w:val="1"/>
          <w:bCs w:val="1"/>
          <w:sz w:val="24"/>
          <w:szCs w:val="24"/>
        </w:rPr>
      </w:pPr>
    </w:p>
    <w:p>
      <w:pPr>
        <w:pStyle w:val="Normal.0"/>
        <w:rPr>
          <w:rFonts w:ascii="Bookman Old Style" w:hAnsi="Bookman Old Style"/>
          <w:b w:val="1"/>
          <w:bCs w:val="1"/>
          <w:sz w:val="24"/>
          <w:szCs w:val="24"/>
        </w:rPr>
      </w:pPr>
    </w:p>
    <w:p>
      <w:pPr>
        <w:pStyle w:val="Normal.0"/>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nl-NL"/>
        </w:rPr>
        <w:t>Aandachtspunten voor het orgel en gelui bij sluiting van een kerkgebouw</w:t>
      </w: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Bij fusies en daaropvolgende kerksluiting is bijna altijd sprake van een meer of minder waardevol orgel. De parochie staat dan, naast alle andere keuzes, ook voor de vraag wat er mogelijk is met het instrument in de te sluiten kerk. Overplaatsen binnen de eigen parochie of verkopen zijn mogelijkheden, maar niet alle instrumenten zijn geschikt om over te plaatsen. Bij deze overwegingen waar het parochiebestuur voor komt te staan is inschakeling, of nog beter gezegd tijdige inschakeling, van de gecertificeerde KKOR-adviseurs  onontbeerlijk en effici</w:t>
      </w:r>
      <w:r>
        <w:rPr>
          <w:rFonts w:ascii="Bookman Old Style" w:hAnsi="Bookman Old Style" w:hint="default"/>
          <w:sz w:val="24"/>
          <w:szCs w:val="24"/>
          <w:rtl w:val="0"/>
          <w:lang w:val="nl-NL"/>
        </w:rPr>
        <w:t>ë</w:t>
      </w:r>
      <w:r>
        <w:rPr>
          <w:rFonts w:ascii="Bookman Old Style" w:hAnsi="Bookman Old Style"/>
          <w:sz w:val="24"/>
          <w:szCs w:val="24"/>
          <w:rtl w:val="0"/>
          <w:lang w:val="nl-NL"/>
        </w:rPr>
        <w:t>nt.</w:t>
      </w:r>
    </w:p>
    <w:p>
      <w:pPr>
        <w:pStyle w:val="Normal.0"/>
        <w:ind w:left="720" w:firstLine="0"/>
        <w:rPr>
          <w:rFonts w:ascii="Bookman Old Style" w:cs="Bookman Old Style" w:hAnsi="Bookman Old Style" w:eastAsia="Bookman Old Style"/>
          <w:sz w:val="24"/>
          <w:szCs w:val="24"/>
        </w:rPr>
      </w:pP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1.</w:t>
      </w:r>
      <w:r>
        <w:rPr>
          <w:rFonts w:ascii="Bookman Old Style" w:hAnsi="Bookman Old Style"/>
          <w:b w:val="1"/>
          <w:bCs w:val="1"/>
          <w:sz w:val="24"/>
          <w:szCs w:val="24"/>
          <w:rtl w:val="0"/>
          <w:lang w:val="nl-NL"/>
        </w:rPr>
        <w:t xml:space="preserve"> Onderzoek van KKOR-adviseur ter plaatse.</w:t>
      </w:r>
      <w:r>
        <w:rPr>
          <w:rFonts w:ascii="Bookman Old Style" w:hAnsi="Bookman Old Style"/>
          <w:sz w:val="24"/>
          <w:szCs w:val="24"/>
          <w:rtl w:val="0"/>
          <w:lang w:val="nl-NL"/>
        </w:rPr>
        <w:t xml:space="preserve"> </w:t>
      </w: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Hun praktisch advies, ook als het niet over waardevolle zaken gaat, geeft het parochiebestuur inzicht in wat kan en niet kan. Een grote zorg van parochiebestuurders kan daardoor snel weggenomen worden. En uiteraard wordt bekeken of in een niet-monumentaal instrument historische pijpen of andere historische onderdelen, de moeite van het bewaren waard, aanwezig zijn.</w:t>
      </w: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E</w:t>
      </w:r>
      <w:r>
        <w:rPr>
          <w:rFonts w:ascii="Bookman Old Style" w:hAnsi="Bookman Old Style" w:hint="default"/>
          <w:sz w:val="24"/>
          <w:szCs w:val="24"/>
          <w:rtl w:val="0"/>
          <w:lang w:val="nl-NL"/>
        </w:rPr>
        <w:t>é</w:t>
      </w:r>
      <w:r>
        <w:rPr>
          <w:rFonts w:ascii="Bookman Old Style" w:hAnsi="Bookman Old Style"/>
          <w:sz w:val="24"/>
          <w:szCs w:val="24"/>
          <w:rtl w:val="0"/>
          <w:lang w:val="nl-NL"/>
        </w:rPr>
        <w:t>n onderzoek van een KKOR-adviseur kan voldoende zijn. De kosten daarvan bedragen gemiddeld euro 300,--, excl. BTW</w:t>
      </w:r>
      <w:r>
        <w:rPr>
          <w:rFonts w:ascii="Bookman Old Style" w:hAnsi="Bookman Old Style"/>
          <w:sz w:val="24"/>
          <w:szCs w:val="24"/>
          <w:rtl w:val="0"/>
          <w:lang w:val="nl-NL"/>
        </w:rPr>
        <w:t xml:space="preserve"> en worden vaak door het bisdom gedragen</w:t>
      </w:r>
      <w:r>
        <w:rPr>
          <w:rFonts w:ascii="Bookman Old Style" w:hAnsi="Bookman Old Style"/>
          <w:sz w:val="24"/>
          <w:szCs w:val="24"/>
          <w:rtl w:val="0"/>
          <w:lang w:val="nl-NL"/>
        </w:rPr>
        <w:t>.</w:t>
      </w:r>
    </w:p>
    <w:p>
      <w:pPr>
        <w:pStyle w:val="Normal.0"/>
        <w:rPr>
          <w:rFonts w:ascii="Bookman Old Style" w:cs="Bookman Old Style" w:hAnsi="Bookman Old Style" w:eastAsia="Bookman Old Style"/>
          <w:sz w:val="24"/>
          <w:szCs w:val="24"/>
        </w:rPr>
      </w:pP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2. </w:t>
      </w:r>
      <w:r>
        <w:rPr>
          <w:rFonts w:ascii="Bookman Old Style" w:hAnsi="Bookman Old Style"/>
          <w:b w:val="1"/>
          <w:bCs w:val="1"/>
          <w:sz w:val="24"/>
          <w:szCs w:val="24"/>
          <w:rtl w:val="0"/>
          <w:lang w:val="nl-NL"/>
        </w:rPr>
        <w:t>Herbestemming</w:t>
      </w: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 Indien orgels binnen de nieuwe parochie een bestemming kunnen krijgen verdient dat voorkeur. Daarbij is kwaliteit van belang maar speelt ook de afmeting een rol.</w:t>
      </w:r>
    </w:p>
    <w:p>
      <w:pPr>
        <w:pStyle w:val="Normal.0"/>
        <w:rPr>
          <w:rFonts w:ascii="Bookman Old Style" w:cs="Bookman Old Style" w:hAnsi="Bookman Old Style" w:eastAsia="Bookman Old Style"/>
          <w:outline w:val="0"/>
          <w:color w:val="ff0000"/>
          <w:sz w:val="24"/>
          <w:szCs w:val="24"/>
          <w:u w:color="ff0000"/>
          <w14:textFill>
            <w14:solidFill>
              <w14:srgbClr w14:val="FF0000"/>
            </w14:solidFill>
          </w14:textFill>
        </w:rPr>
      </w:pPr>
      <w:r>
        <w:rPr>
          <w:rFonts w:ascii="Bookman Old Style" w:hAnsi="Bookman Old Style"/>
          <w:sz w:val="24"/>
          <w:szCs w:val="24"/>
          <w:rtl w:val="0"/>
          <w:lang w:val="nl-NL"/>
        </w:rPr>
        <w:t>- Historische onderdelen die niet binnen de parochie hergebruikt kunnen worden, worden bij voorkeur verkocht aan een orgelmaker</w:t>
      </w:r>
      <w:r>
        <w:rPr>
          <w:rFonts w:ascii="Bookman Old Style" w:hAnsi="Bookman Old Style"/>
          <w:outline w:val="0"/>
          <w:color w:val="ff0000"/>
          <w:sz w:val="24"/>
          <w:szCs w:val="24"/>
          <w:u w:color="ff0000"/>
          <w:rtl w:val="0"/>
          <w:lang w:val="nl-NL"/>
          <w14:textFill>
            <w14:solidFill>
              <w14:srgbClr w14:val="FF0000"/>
            </w14:solidFill>
          </w14:textFill>
        </w:rPr>
        <w:t>.</w:t>
      </w:r>
    </w:p>
    <w:p>
      <w:pPr>
        <w:pStyle w:val="Normal.0"/>
        <w:rPr>
          <w:rFonts w:ascii="Bookman Old Style" w:cs="Bookman Old Style" w:hAnsi="Bookman Old Style" w:eastAsia="Bookman Old Style"/>
          <w:sz w:val="24"/>
          <w:szCs w:val="24"/>
        </w:rPr>
      </w:pPr>
      <w:r>
        <w:rPr>
          <w:rFonts w:ascii="Bookman Old Style" w:hAnsi="Bookman Old Style"/>
          <w:sz w:val="24"/>
          <w:szCs w:val="24"/>
          <w:u w:color="ff0000"/>
          <w:rtl w:val="0"/>
          <w:lang w:val="nl-NL"/>
        </w:rPr>
        <w:t>- Overdracht binnen de Nederlandse Kerkprovincie gebeurt bij voorkeur direct tussen twee kerkbesturen zodat onnodige BTW-heffing wordt voorkomen.</w:t>
      </w:r>
    </w:p>
    <w:p>
      <w:pPr>
        <w:pStyle w:val="Normal.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 </w:t>
      </w:r>
      <w:r>
        <w:rPr>
          <w:rFonts w:ascii="Bookman Old Style" w:hAnsi="Bookman Old Style"/>
          <w:sz w:val="24"/>
          <w:szCs w:val="24"/>
          <w:rtl w:val="0"/>
          <w:lang w:val="nl-NL"/>
        </w:rPr>
        <w:t>B</w:t>
      </w:r>
      <w:r>
        <w:rPr>
          <w:rFonts w:ascii="Bookman Old Style" w:hAnsi="Bookman Old Style"/>
          <w:sz w:val="24"/>
          <w:szCs w:val="24"/>
          <w:rtl w:val="0"/>
          <w:lang w:val="nl-NL"/>
        </w:rPr>
        <w:t>ij herbestemming</w:t>
      </w:r>
      <w:r>
        <w:rPr>
          <w:rFonts w:ascii="Bookman Old Style" w:hAnsi="Bookman Old Style"/>
          <w:sz w:val="24"/>
          <w:szCs w:val="24"/>
          <w:rtl w:val="0"/>
          <w:lang w:val="nl-NL"/>
        </w:rPr>
        <w:t xml:space="preserve"> is de volgorde van voorkeur:</w:t>
      </w:r>
      <w:r>
        <w:rPr>
          <w:rFonts w:ascii="Bookman Old Style" w:hAnsi="Bookman Old Style"/>
          <w:sz w:val="24"/>
          <w:szCs w:val="24"/>
          <w:rtl w:val="0"/>
          <w:lang w:val="nl-NL"/>
        </w:rPr>
        <w:t xml:space="preserve"> </w:t>
        <w:tab/>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Binnen nieuwe parochie</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Binnen bisdom</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Binnen kerkprovincie</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Elders</w:t>
      </w:r>
    </w:p>
    <w:p>
      <w:pPr>
        <w:pStyle w:val="Normal.0"/>
        <w:bidi w:val="0"/>
        <w:spacing w:after="0"/>
        <w:ind w:left="0" w:right="0" w:firstLine="0"/>
        <w:jc w:val="left"/>
        <w:rPr>
          <w:rFonts w:ascii="Bookman Old Style" w:cs="Bookman Old Style" w:hAnsi="Bookman Old Style" w:eastAsia="Bookman Old Style"/>
          <w:sz w:val="24"/>
          <w:szCs w:val="24"/>
          <w:rtl w:val="0"/>
        </w:rPr>
      </w:pPr>
    </w:p>
    <w:p>
      <w:pPr>
        <w:pStyle w:val="Normal.0"/>
        <w:bidi w:val="0"/>
        <w:spacing w:after="0"/>
        <w:ind w:left="0" w:right="0" w:firstLine="0"/>
        <w:jc w:val="left"/>
        <w:rPr>
          <w:rFonts w:ascii="Bookman Old Style" w:cs="Bookman Old Style" w:hAnsi="Bookman Old Style" w:eastAsia="Bookman Old Style"/>
          <w:sz w:val="24"/>
          <w:szCs w:val="24"/>
          <w:rtl w:val="0"/>
        </w:rPr>
      </w:pPr>
      <w:r>
        <w:rPr>
          <w:rFonts w:ascii="Bookman Old Style" w:cs="Bookman Old Style" w:hAnsi="Bookman Old Style" w:eastAsia="Bookman Old Style"/>
          <w:sz w:val="24"/>
          <w:szCs w:val="24"/>
          <w:rtl w:val="0"/>
        </w:rPr>
        <w:tab/>
        <w:t>Indien geen herbestemming zinvol is: volgorde van voorkeur:</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 xml:space="preserve">Orgelmakers kunnen het </w:t>
      </w:r>
      <w:r>
        <w:rPr>
          <w:rFonts w:ascii="Bookman Old Style" w:hAnsi="Bookman Old Style"/>
          <w:sz w:val="24"/>
          <w:szCs w:val="24"/>
          <w:rtl w:val="0"/>
          <w:lang w:val="nl-NL"/>
        </w:rPr>
        <w:t xml:space="preserve">hele instrument </w:t>
      </w:r>
      <w:r>
        <w:rPr>
          <w:rFonts w:ascii="Bookman Old Style" w:hAnsi="Bookman Old Style"/>
          <w:sz w:val="24"/>
          <w:szCs w:val="24"/>
          <w:rtl w:val="0"/>
          <w:lang w:val="nl-NL"/>
        </w:rPr>
        <w:t>kopen</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Ander kerkgenootschap</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Kerk buitenland ( b.v. voormalig Oostblok)</w:t>
      </w:r>
    </w:p>
    <w:p>
      <w:pPr>
        <w:pStyle w:val="Normal.0"/>
        <w:numPr>
          <w:ilvl w:val="0"/>
          <w:numId w:val="2"/>
        </w:numPr>
        <w:bidi w:val="0"/>
        <w:spacing w:after="0"/>
        <w:ind w:right="0"/>
        <w:jc w:val="left"/>
        <w:rPr>
          <w:rFonts w:ascii="Bookman Old Style" w:hAnsi="Bookman Old Style"/>
          <w:sz w:val="24"/>
          <w:szCs w:val="24"/>
          <w:rtl w:val="0"/>
          <w:lang w:val="nl-NL"/>
        </w:rPr>
      </w:pPr>
      <w:r>
        <w:rPr>
          <w:rFonts w:ascii="Bookman Old Style" w:hAnsi="Bookman Old Style"/>
          <w:sz w:val="24"/>
          <w:szCs w:val="24"/>
          <w:rtl w:val="0"/>
          <w:lang w:val="nl-NL"/>
        </w:rPr>
        <w:t>Verkopen tegen metaalprijs</w:t>
      </w:r>
    </w:p>
    <w:p>
      <w:pPr>
        <w:pStyle w:val="Normal.0"/>
        <w:spacing w:after="0"/>
        <w:rPr>
          <w:rFonts w:ascii="Bookman Old Style" w:cs="Bookman Old Style" w:hAnsi="Bookman Old Style" w:eastAsia="Bookman Old Style"/>
          <w:sz w:val="24"/>
          <w:szCs w:val="24"/>
        </w:rPr>
      </w:pP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3. </w:t>
      </w:r>
      <w:r>
        <w:rPr>
          <w:rFonts w:ascii="Bookman Old Style" w:hAnsi="Bookman Old Style"/>
          <w:b w:val="1"/>
          <w:bCs w:val="1"/>
          <w:sz w:val="24"/>
          <w:szCs w:val="24"/>
          <w:rtl w:val="0"/>
          <w:lang w:val="nl-NL"/>
        </w:rPr>
        <w:t xml:space="preserve">Monumenten dienen </w:t>
      </w:r>
      <w:r>
        <w:rPr>
          <w:rFonts w:ascii="Bookman Old Style" w:hAnsi="Bookman Old Style"/>
          <w:b w:val="1"/>
          <w:bCs w:val="1"/>
          <w:sz w:val="24"/>
          <w:szCs w:val="24"/>
          <w:rtl w:val="0"/>
          <w:lang w:val="nl-NL"/>
        </w:rPr>
        <w:t>behouden</w:t>
      </w:r>
      <w:r>
        <w:rPr>
          <w:rFonts w:ascii="Bookman Old Style" w:hAnsi="Bookman Old Style"/>
          <w:b w:val="1"/>
          <w:bCs w:val="1"/>
          <w:sz w:val="24"/>
          <w:szCs w:val="24"/>
          <w:rtl w:val="0"/>
          <w:lang w:val="nl-NL"/>
        </w:rPr>
        <w:t xml:space="preserve"> te blijven.</w:t>
      </w:r>
      <w:r>
        <w:rPr>
          <w:rFonts w:ascii="Bookman Old Style" w:hAnsi="Bookman Old Style"/>
          <w:sz w:val="24"/>
          <w:szCs w:val="24"/>
          <w:rtl w:val="0"/>
          <w:lang w:val="nl-NL"/>
        </w:rPr>
        <w:t xml:space="preserve">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Te denken valt aan het gratis overdragen aan een </w:t>
      </w:r>
      <w:r>
        <w:rPr>
          <w:rFonts w:ascii="Bookman Old Style" w:hAnsi="Bookman Old Style"/>
          <w:sz w:val="24"/>
          <w:szCs w:val="24"/>
          <w:rtl w:val="0"/>
          <w:lang w:val="nl-NL"/>
        </w:rPr>
        <w:t xml:space="preserve">andere </w:t>
      </w:r>
      <w:r>
        <w:rPr>
          <w:rFonts w:ascii="Bookman Old Style" w:hAnsi="Bookman Old Style"/>
          <w:sz w:val="24"/>
          <w:szCs w:val="24"/>
          <w:rtl w:val="0"/>
          <w:lang w:val="nl-NL"/>
        </w:rPr>
        <w:t xml:space="preserve">kerk die de kosten van overplaatsing en </w:t>
      </w:r>
      <w:r>
        <w:rPr>
          <w:rFonts w:ascii="Bookman Old Style" w:hAnsi="Bookman Old Style"/>
          <w:sz w:val="24"/>
          <w:szCs w:val="24"/>
          <w:rtl w:val="0"/>
          <w:lang w:val="nl-NL"/>
        </w:rPr>
        <w:t xml:space="preserve">eventuele </w:t>
      </w:r>
      <w:r>
        <w:rPr>
          <w:rFonts w:ascii="Bookman Old Style" w:hAnsi="Bookman Old Style"/>
          <w:sz w:val="24"/>
          <w:szCs w:val="24"/>
          <w:rtl w:val="0"/>
          <w:lang w:val="nl-NL"/>
        </w:rPr>
        <w:t>restauratie voor</w:t>
      </w:r>
      <w:r>
        <w:rPr>
          <w:rFonts w:ascii="Bookman Old Style" w:hAnsi="Bookman Old Style"/>
          <w:sz w:val="24"/>
          <w:szCs w:val="24"/>
          <w:rtl w:val="0"/>
          <w:lang w:val="nl-NL"/>
        </w:rPr>
        <w:t xml:space="preserve"> </w:t>
      </w:r>
      <w:r>
        <w:rPr>
          <w:rFonts w:ascii="Bookman Old Style" w:hAnsi="Bookman Old Style"/>
          <w:sz w:val="24"/>
          <w:szCs w:val="24"/>
          <w:rtl w:val="0"/>
          <w:lang w:val="nl-NL"/>
        </w:rPr>
        <w:t xml:space="preserve">rekening neemt.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Soms is het redelijk dat de ontvangende parochie een deel van de recent uitgegeven restauratiekosten van de gevende parochie overneemt. Er ware rekening te houden met een afschrijving van 3% per jaar.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Een andere mogelijkheid is om het instrument op de bestaande locatie te laten staan.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Zeker wanneer een van rijkswege beschermd orgel in het kerkgebouw blijft staan, dient </w:t>
      </w:r>
      <w:r>
        <w:rPr>
          <w:rFonts w:ascii="Bookman Old Style" w:hAnsi="Bookman Old Style"/>
          <w:sz w:val="24"/>
          <w:szCs w:val="24"/>
          <w:rtl w:val="0"/>
          <w:lang w:val="nl-NL"/>
        </w:rPr>
        <w:t>he</w:t>
      </w:r>
      <w:r>
        <w:rPr>
          <w:rFonts w:ascii="Bookman Old Style" w:hAnsi="Bookman Old Style"/>
          <w:sz w:val="24"/>
          <w:szCs w:val="24"/>
          <w:rtl w:val="0"/>
          <w:lang w:val="nl-NL"/>
        </w:rPr>
        <w:t xml:space="preserve">t instrument met zorg omringd te </w:t>
      </w:r>
      <w:r>
        <w:rPr>
          <w:rFonts w:ascii="Bookman Old Style" w:hAnsi="Bookman Old Style"/>
          <w:sz w:val="24"/>
          <w:szCs w:val="24"/>
          <w:rtl w:val="0"/>
          <w:lang w:val="nl-NL"/>
        </w:rPr>
        <w:t xml:space="preserve">blijven </w:t>
      </w:r>
      <w:r>
        <w:rPr>
          <w:rFonts w:ascii="Bookman Old Style" w:hAnsi="Bookman Old Style"/>
          <w:sz w:val="24"/>
          <w:szCs w:val="24"/>
          <w:rtl w:val="0"/>
          <w:lang w:val="nl-NL"/>
        </w:rPr>
        <w:t>worden</w:t>
      </w:r>
      <w:r>
        <w:rPr>
          <w:rFonts w:ascii="Bookman Old Style" w:hAnsi="Bookman Old Style"/>
          <w:sz w:val="24"/>
          <w:szCs w:val="24"/>
          <w:rtl w:val="0"/>
          <w:lang w:val="nl-NL"/>
        </w:rPr>
        <w:t>,</w:t>
      </w:r>
      <w:r>
        <w:rPr>
          <w:rFonts w:ascii="Bookman Old Style" w:hAnsi="Bookman Old Style"/>
          <w:sz w:val="24"/>
          <w:szCs w:val="24"/>
          <w:rtl w:val="0"/>
          <w:lang w:val="nl-NL"/>
        </w:rPr>
        <w:t xml:space="preserve"> het </w:t>
      </w:r>
      <w:r>
        <w:rPr>
          <w:rFonts w:ascii="Bookman Old Style" w:hAnsi="Bookman Old Style"/>
          <w:sz w:val="24"/>
          <w:szCs w:val="24"/>
          <w:rtl w:val="0"/>
          <w:lang w:val="nl-NL"/>
        </w:rPr>
        <w:t xml:space="preserve">mag </w:t>
      </w:r>
      <w:r>
        <w:rPr>
          <w:rFonts w:ascii="Bookman Old Style" w:hAnsi="Bookman Old Style"/>
          <w:sz w:val="24"/>
          <w:szCs w:val="24"/>
          <w:rtl w:val="0"/>
          <w:lang w:val="nl-NL"/>
        </w:rPr>
        <w:t xml:space="preserve">niet zonder omgevingsvergunning gewijzigd, verplaatst of verwijderd worden. </w:t>
      </w:r>
      <w:r>
        <w:rPr>
          <w:rFonts w:ascii="Bookman Old Style" w:hAnsi="Bookman Old Style"/>
          <w:sz w:val="24"/>
          <w:szCs w:val="24"/>
          <w:rtl w:val="0"/>
          <w:lang w:val="nl-NL"/>
        </w:rPr>
        <w:t xml:space="preserve">Wanneer het orgel in en goede en volledige beschrijving is vast gelegd, kan </w:t>
      </w:r>
      <w:r>
        <w:rPr>
          <w:rFonts w:ascii="Bookman Old Style" w:hAnsi="Bookman Old Style"/>
          <w:sz w:val="24"/>
          <w:szCs w:val="24"/>
          <w:rtl w:val="0"/>
          <w:lang w:val="nl-NL"/>
        </w:rPr>
        <w:t xml:space="preserve"> de parochie voorkomen dat een nieuwe eigenaar, wanneer deze zich wel schuldig daaraan zou maken en daarop door de burgerlijke gemeente wordt aangesproken, naar de parochie zou kunnen wijzen</w:t>
      </w:r>
      <w:r>
        <w:rPr>
          <w:rFonts w:ascii="Bookman Old Style" w:hAnsi="Bookman Old Style"/>
          <w:sz w:val="24"/>
          <w:szCs w:val="24"/>
          <w:rtl w:val="0"/>
          <w:lang w:val="nl-NL"/>
        </w:rPr>
        <w:t>,</w:t>
      </w:r>
      <w:r>
        <w:rPr>
          <w:rFonts w:ascii="Bookman Old Style" w:hAnsi="Bookman Old Style"/>
          <w:sz w:val="24"/>
          <w:szCs w:val="24"/>
          <w:rtl w:val="0"/>
          <w:lang w:val="nl-NL"/>
        </w:rPr>
        <w:t xml:space="preserve"> omdat deze hem hierop bij de verkoop niet of onvoldoende </w:t>
      </w:r>
      <w:r>
        <w:rPr>
          <w:rFonts w:ascii="Bookman Old Style" w:hAnsi="Bookman Old Style"/>
          <w:sz w:val="24"/>
          <w:szCs w:val="24"/>
          <w:rtl w:val="0"/>
          <w:lang w:val="nl-NL"/>
        </w:rPr>
        <w:t>zou hebben</w:t>
      </w:r>
      <w:r>
        <w:rPr>
          <w:rFonts w:ascii="Bookman Old Style" w:hAnsi="Bookman Old Style"/>
          <w:sz w:val="24"/>
          <w:szCs w:val="24"/>
          <w:rtl w:val="0"/>
          <w:lang w:val="nl-NL"/>
        </w:rPr>
        <w:t xml:space="preserve"> gewezen.</w:t>
      </w:r>
    </w:p>
    <w:p>
      <w:pPr>
        <w:pStyle w:val="Normal.0"/>
        <w:spacing w:after="0"/>
        <w:rPr>
          <w:rFonts w:ascii="Bookman Old Style" w:cs="Bookman Old Style" w:hAnsi="Bookman Old Style" w:eastAsia="Bookman Old Style"/>
          <w:sz w:val="24"/>
          <w:szCs w:val="24"/>
        </w:rPr>
      </w:pP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4. '</w:t>
      </w:r>
      <w:r>
        <w:rPr>
          <w:rFonts w:ascii="Bookman Old Style" w:hAnsi="Bookman Old Style"/>
          <w:b w:val="1"/>
          <w:bCs w:val="1"/>
          <w:sz w:val="24"/>
          <w:szCs w:val="24"/>
          <w:rtl w:val="0"/>
          <w:lang w:val="nl-NL"/>
        </w:rPr>
        <w:t xml:space="preserve">Rommel'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Het beleid van de KKOR is er op gericht om d</w:t>
      </w:r>
      <w:r>
        <w:rPr>
          <w:rFonts w:ascii="Bookman Old Style" w:hAnsi="Bookman Old Style"/>
          <w:sz w:val="24"/>
          <w:szCs w:val="24"/>
          <w:rtl w:val="0"/>
          <w:lang w:val="nl-NL"/>
        </w:rPr>
        <w:t>e kerken die o</w:t>
      </w:r>
      <w:r>
        <w:rPr>
          <w:rFonts w:ascii="Bookman Old Style" w:hAnsi="Bookman Old Style"/>
          <w:sz w:val="24"/>
          <w:szCs w:val="24"/>
          <w:rtl w:val="0"/>
          <w:lang w:val="nl-NL"/>
        </w:rPr>
        <w:t xml:space="preserve">pen </w:t>
      </w:r>
      <w:r>
        <w:rPr>
          <w:rFonts w:ascii="Bookman Old Style" w:hAnsi="Bookman Old Style"/>
          <w:sz w:val="24"/>
          <w:szCs w:val="24"/>
          <w:rtl w:val="0"/>
          <w:lang w:val="nl-NL"/>
        </w:rPr>
        <w:t xml:space="preserve">blijven niet met </w:t>
      </w:r>
      <w:r>
        <w:rPr>
          <w:rFonts w:ascii="Bookman Old Style" w:hAnsi="Bookman Old Style" w:hint="default"/>
          <w:sz w:val="24"/>
          <w:szCs w:val="24"/>
          <w:rtl w:val="0"/>
          <w:lang w:val="nl-NL"/>
        </w:rPr>
        <w:t>“</w:t>
      </w:r>
      <w:r>
        <w:rPr>
          <w:rFonts w:ascii="Bookman Old Style" w:hAnsi="Bookman Old Style"/>
          <w:sz w:val="24"/>
          <w:szCs w:val="24"/>
          <w:rtl w:val="0"/>
          <w:lang w:val="nl-NL"/>
        </w:rPr>
        <w:t>rommel</w:t>
      </w:r>
      <w:r>
        <w:rPr>
          <w:rFonts w:ascii="Bookman Old Style" w:hAnsi="Bookman Old Style" w:hint="default"/>
          <w:sz w:val="24"/>
          <w:szCs w:val="24"/>
          <w:rtl w:val="0"/>
          <w:lang w:val="nl-NL"/>
        </w:rPr>
        <w:t xml:space="preserve">”  </w:t>
      </w:r>
      <w:r>
        <w:rPr>
          <w:rFonts w:ascii="Bookman Old Style" w:hAnsi="Bookman Old Style"/>
          <w:sz w:val="24"/>
          <w:szCs w:val="24"/>
          <w:rtl w:val="0"/>
          <w:lang w:val="nl-NL"/>
        </w:rPr>
        <w:t xml:space="preserve">verder </w:t>
      </w:r>
      <w:r>
        <w:rPr>
          <w:rFonts w:ascii="Bookman Old Style" w:hAnsi="Bookman Old Style"/>
          <w:sz w:val="24"/>
          <w:szCs w:val="24"/>
          <w:rtl w:val="0"/>
          <w:lang w:val="nl-NL"/>
        </w:rPr>
        <w:t>te laten gaan</w:t>
      </w:r>
      <w:r>
        <w:rPr>
          <w:rFonts w:ascii="Bookman Old Style" w:hAnsi="Bookman Old Style"/>
          <w:sz w:val="24"/>
          <w:szCs w:val="24"/>
          <w:rtl w:val="0"/>
          <w:lang w:val="nl-NL"/>
        </w:rPr>
        <w:t>. Slechte instrumenten weg doen, goede instrumenten be</w:t>
      </w:r>
      <w:r>
        <w:rPr>
          <w:rFonts w:ascii="Bookman Old Style" w:hAnsi="Bookman Old Style"/>
          <w:sz w:val="24"/>
          <w:szCs w:val="24"/>
          <w:rtl w:val="0"/>
          <w:lang w:val="nl-NL"/>
        </w:rPr>
        <w:t>houden is het adagium</w:t>
      </w:r>
      <w:r>
        <w:rPr>
          <w:rFonts w:ascii="Bookman Old Style" w:hAnsi="Bookman Old Style"/>
          <w:sz w:val="24"/>
          <w:szCs w:val="24"/>
          <w:rtl w:val="0"/>
          <w:lang w:val="nl-NL"/>
        </w:rPr>
        <w:t xml:space="preserve">. </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Let wel, een goed orgel heeft vaak een goede organist, een goed koor en dus ook kerkgangers.</w:t>
      </w:r>
    </w:p>
    <w:p>
      <w:pPr>
        <w:pStyle w:val="Normal.0"/>
        <w:spacing w:after="0"/>
        <w:rPr>
          <w:rFonts w:ascii="Bookman Old Style" w:cs="Bookman Old Style" w:hAnsi="Bookman Old Style" w:eastAsia="Bookman Old Style"/>
          <w:sz w:val="24"/>
          <w:szCs w:val="24"/>
        </w:rPr>
      </w:pP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 xml:space="preserve">5. </w:t>
      </w:r>
      <w:r>
        <w:rPr>
          <w:rFonts w:ascii="Bookman Old Style" w:hAnsi="Bookman Old Style"/>
          <w:b w:val="1"/>
          <w:bCs w:val="1"/>
          <w:sz w:val="24"/>
          <w:szCs w:val="24"/>
          <w:rtl w:val="0"/>
          <w:lang w:val="nl-NL"/>
        </w:rPr>
        <w:t>Klokken</w:t>
      </w:r>
    </w:p>
    <w:p>
      <w:pPr>
        <w:pStyle w:val="Normal.0"/>
        <w:spacing w:after="0"/>
        <w:rPr>
          <w:rFonts w:ascii="Bookman Old Style" w:cs="Bookman Old Style" w:hAnsi="Bookman Old Style" w:eastAsia="Bookman Old Style"/>
          <w:sz w:val="24"/>
          <w:szCs w:val="24"/>
        </w:rPr>
      </w:pPr>
      <w:r>
        <w:rPr>
          <w:rFonts w:ascii="Bookman Old Style" w:hAnsi="Bookman Old Style"/>
          <w:sz w:val="24"/>
          <w:szCs w:val="24"/>
          <w:rtl w:val="0"/>
          <w:lang w:val="nl-NL"/>
        </w:rPr>
        <w:t>Wat hierboven gesteld is over orgels geldt in dezelfde mate voor klokken, torenuurwerken en carillons.</w:t>
      </w:r>
    </w:p>
    <w:p>
      <w:pPr>
        <w:pStyle w:val="Normal.0"/>
        <w:spacing w:after="0"/>
      </w:pPr>
      <w:r>
        <w:rPr>
          <w:rFonts w:ascii="Bookman Old Style" w:cs="Bookman Old Style" w:hAnsi="Bookman Old Style" w:eastAsia="Bookman Old Style"/>
          <w:sz w:val="24"/>
          <w:szCs w:val="24"/>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108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Bookman Old Style" w:cs="Bookman Old Style" w:hAnsi="Bookman Old Style" w:eastAsia="Bookman Old Styl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